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02388">
      <w:pPr>
        <w:spacing w:line="680" w:lineRule="exact"/>
        <w:jc w:val="left"/>
        <w:rPr>
          <w:rFonts w:hint="eastAsia" w:ascii="黑体" w:hAnsi="黑体" w:eastAsia="黑体" w:cs="Times New Roman"/>
          <w:bCs/>
          <w:sz w:val="32"/>
          <w:szCs w:val="32"/>
          <w:lang w:val="en-US" w:eastAsia="zh-CN"/>
        </w:rPr>
      </w:pPr>
      <w:r>
        <w:rPr>
          <w:rFonts w:hint="eastAsia" w:ascii="黑体" w:hAnsi="黑体" w:eastAsia="黑体" w:cs="Times New Roman"/>
          <w:bCs/>
          <w:sz w:val="32"/>
          <w:szCs w:val="32"/>
        </w:rPr>
        <w:t>附件</w:t>
      </w:r>
      <w:r>
        <w:rPr>
          <w:rFonts w:hint="eastAsia" w:ascii="黑体" w:hAnsi="黑体" w:eastAsia="黑体" w:cs="Times New Roman"/>
          <w:bCs/>
          <w:sz w:val="32"/>
          <w:szCs w:val="32"/>
          <w:lang w:val="en-US" w:eastAsia="zh-CN"/>
        </w:rPr>
        <w:t>1</w:t>
      </w:r>
    </w:p>
    <w:p w14:paraId="0BEFC679">
      <w:pPr>
        <w:spacing w:line="680" w:lineRule="exact"/>
        <w:jc w:val="center"/>
        <w:rPr>
          <w:rFonts w:hint="eastAsia" w:ascii="方正小标宋简体" w:eastAsia="方正小标宋简体" w:cs="Times New Roman"/>
          <w:bCs/>
          <w:sz w:val="44"/>
          <w:szCs w:val="44"/>
        </w:rPr>
      </w:pPr>
    </w:p>
    <w:p w14:paraId="1B292750">
      <w:pPr>
        <w:spacing w:line="680" w:lineRule="exact"/>
        <w:jc w:val="center"/>
        <w:rPr>
          <w:rFonts w:hint="eastAsia" w:ascii="方正小标宋简体" w:eastAsia="方正小标宋简体" w:cs="Times New Roman"/>
          <w:bCs/>
          <w:sz w:val="44"/>
          <w:szCs w:val="44"/>
        </w:rPr>
      </w:pPr>
      <w:r>
        <w:rPr>
          <w:rFonts w:hint="eastAsia" w:ascii="方正小标宋简体" w:eastAsia="方正小标宋简体" w:cs="Times New Roman"/>
          <w:bCs/>
          <w:sz w:val="44"/>
          <w:szCs w:val="44"/>
        </w:rPr>
        <w:t>2024年信创海河实验室、</w:t>
      </w:r>
    </w:p>
    <w:p w14:paraId="28C213A0">
      <w:pPr>
        <w:spacing w:line="680" w:lineRule="exact"/>
        <w:jc w:val="center"/>
        <w:rPr>
          <w:rFonts w:hint="eastAsia" w:ascii="方正小标宋简体" w:eastAsia="方正小标宋简体" w:cs="Times New Roman"/>
          <w:bCs/>
          <w:sz w:val="44"/>
          <w:szCs w:val="44"/>
        </w:rPr>
      </w:pPr>
      <w:r>
        <w:rPr>
          <w:rFonts w:hint="eastAsia" w:ascii="方正小标宋简体" w:eastAsia="方正小标宋简体" w:cs="Times New Roman"/>
          <w:bCs/>
          <w:sz w:val="44"/>
          <w:szCs w:val="44"/>
        </w:rPr>
        <w:t>中国新一代人工智能发展战略研究院</w:t>
      </w:r>
    </w:p>
    <w:p w14:paraId="706E38FB">
      <w:pPr>
        <w:spacing w:line="680" w:lineRule="exact"/>
        <w:jc w:val="center"/>
        <w:rPr>
          <w:rFonts w:hint="eastAsia" w:ascii="方正小标宋简体" w:eastAsia="方正小标宋简体" w:cs="Times New Roman"/>
          <w:bCs/>
          <w:sz w:val="44"/>
          <w:szCs w:val="44"/>
        </w:rPr>
      </w:pPr>
      <w:r>
        <w:rPr>
          <w:rFonts w:hint="eastAsia" w:ascii="方正小标宋简体" w:eastAsia="方正小标宋简体" w:cs="Times New Roman"/>
          <w:bCs/>
          <w:sz w:val="44"/>
          <w:szCs w:val="44"/>
          <w:lang w:eastAsia="zh-CN"/>
        </w:rPr>
        <w:t>“</w:t>
      </w:r>
      <w:r>
        <w:rPr>
          <w:rFonts w:hint="eastAsia" w:ascii="方正小标宋简体" w:eastAsia="方正小标宋简体" w:cs="Times New Roman"/>
          <w:bCs/>
          <w:sz w:val="44"/>
          <w:szCs w:val="44"/>
          <w:lang w:val="en-US" w:eastAsia="zh-CN"/>
        </w:rPr>
        <w:t>人工智能领域相关热点问题及对策研究</w:t>
      </w:r>
      <w:r>
        <w:rPr>
          <w:rFonts w:hint="eastAsia" w:ascii="方正小标宋简体" w:eastAsia="方正小标宋简体" w:cs="Times New Roman"/>
          <w:bCs/>
          <w:sz w:val="44"/>
          <w:szCs w:val="44"/>
          <w:lang w:eastAsia="zh-CN"/>
        </w:rPr>
        <w:t>”</w:t>
      </w:r>
      <w:r>
        <w:rPr>
          <w:rFonts w:hint="eastAsia" w:ascii="方正小标宋简体" w:eastAsia="方正小标宋简体" w:cs="Times New Roman"/>
          <w:bCs/>
          <w:sz w:val="44"/>
          <w:szCs w:val="44"/>
        </w:rPr>
        <w:t>重点决策咨询</w:t>
      </w:r>
      <w:r>
        <w:rPr>
          <w:rFonts w:hint="eastAsia" w:ascii="方正小标宋简体" w:eastAsia="方正小标宋简体" w:cs="Times New Roman"/>
          <w:bCs/>
          <w:sz w:val="44"/>
          <w:szCs w:val="44"/>
          <w:lang w:val="en-US" w:eastAsia="zh-CN"/>
        </w:rPr>
        <w:t>系列</w:t>
      </w:r>
      <w:r>
        <w:rPr>
          <w:rFonts w:hint="eastAsia" w:ascii="方正小标宋简体" w:eastAsia="方正小标宋简体" w:cs="Times New Roman"/>
          <w:bCs/>
          <w:sz w:val="44"/>
          <w:szCs w:val="44"/>
        </w:rPr>
        <w:t>课题</w:t>
      </w:r>
      <w:r>
        <w:rPr>
          <w:rFonts w:hint="eastAsia" w:ascii="方正小标宋简体" w:eastAsia="方正小标宋简体" w:cs="Times New Roman"/>
          <w:bCs/>
          <w:sz w:val="44"/>
          <w:szCs w:val="44"/>
          <w:lang w:val="en-US" w:eastAsia="zh-CN"/>
        </w:rPr>
        <w:t>申报</w:t>
      </w:r>
      <w:r>
        <w:rPr>
          <w:rFonts w:hint="eastAsia" w:ascii="方正小标宋简体" w:eastAsia="方正小标宋简体" w:cs="Times New Roman"/>
          <w:bCs/>
          <w:sz w:val="44"/>
          <w:szCs w:val="44"/>
        </w:rPr>
        <w:t>指南</w:t>
      </w:r>
    </w:p>
    <w:p w14:paraId="16D3D638">
      <w:pPr>
        <w:spacing w:line="580" w:lineRule="exact"/>
        <w:jc w:val="center"/>
        <w:rPr>
          <w:rFonts w:hint="eastAsia" w:ascii="仿宋_GB2312" w:eastAsia="仿宋_GB2312" w:cs="Times New Roman"/>
          <w:b/>
          <w:bCs/>
          <w:szCs w:val="32"/>
        </w:rPr>
      </w:pPr>
    </w:p>
    <w:p w14:paraId="3EB00B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eastAsia="仿宋_GB2312" w:cs="Times New Roman"/>
          <w:b/>
          <w:bCs/>
          <w:sz w:val="32"/>
          <w:szCs w:val="32"/>
        </w:rPr>
        <w:t>1.</w:t>
      </w:r>
      <w:r>
        <w:rPr>
          <w:rFonts w:hint="eastAsia" w:ascii="仿宋_GB2312" w:hAnsi="仿宋" w:eastAsia="仿宋_GB2312"/>
          <w:b/>
          <w:bCs/>
          <w:sz w:val="32"/>
          <w:szCs w:val="32"/>
        </w:rPr>
        <w:t>以</w:t>
      </w:r>
      <w:r>
        <w:rPr>
          <w:rFonts w:hint="eastAsia" w:ascii="仿宋_GB2312" w:eastAsia="仿宋_GB2312" w:cs="Times New Roman"/>
          <w:b/>
          <w:bCs/>
          <w:sz w:val="32"/>
          <w:szCs w:val="32"/>
        </w:rPr>
        <w:t>ChatGPT、Sora</w:t>
      </w:r>
      <w:r>
        <w:rPr>
          <w:rFonts w:hint="eastAsia" w:ascii="仿宋_GB2312" w:hAnsi="仿宋" w:eastAsia="仿宋_GB2312"/>
          <w:b/>
          <w:bCs/>
          <w:sz w:val="32"/>
          <w:szCs w:val="32"/>
        </w:rPr>
        <w:t>等为代表的生成式人工智能对社会发展的影响及对策研究</w:t>
      </w:r>
    </w:p>
    <w:p w14:paraId="36587E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rPr>
        <w:t>课题编号：2024L01</w:t>
      </w:r>
    </w:p>
    <w:p w14:paraId="798233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Cs/>
          <w:sz w:val="32"/>
          <w:szCs w:val="32"/>
        </w:rPr>
      </w:pPr>
      <w:r>
        <w:rPr>
          <w:rFonts w:hint="eastAsia" w:ascii="仿宋_GB2312" w:hAnsi="仿宋" w:eastAsia="仿宋_GB2312"/>
          <w:b/>
          <w:bCs/>
          <w:sz w:val="32"/>
          <w:szCs w:val="32"/>
        </w:rPr>
        <w:t>研究内容：</w:t>
      </w:r>
      <w:r>
        <w:rPr>
          <w:rFonts w:hint="eastAsia" w:ascii="仿宋_GB2312" w:hAnsi="仿宋" w:eastAsia="仿宋_GB2312"/>
          <w:bCs/>
          <w:sz w:val="32"/>
          <w:szCs w:val="32"/>
        </w:rPr>
        <w:t>随着人工智能技术不断发展，生成式人工智能将进一步带动科技进步，对经济社会发展产生重要影响，甚至改变当前生产生活方式。围绕分析生成式人工智能对于社会影响，考虑如何应对未来对全社会带来的冲击开展选题和战略研究。</w:t>
      </w:r>
    </w:p>
    <w:p w14:paraId="2608AF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rPr>
        <w:t>2.生成式人工智能对产业转型升级的影响研究</w:t>
      </w:r>
    </w:p>
    <w:p w14:paraId="33E5E4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rPr>
        <w:t>课题编号：2024L02</w:t>
      </w:r>
    </w:p>
    <w:p w14:paraId="49A32A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Cs/>
          <w:sz w:val="32"/>
          <w:szCs w:val="32"/>
        </w:rPr>
      </w:pPr>
      <w:r>
        <w:rPr>
          <w:rFonts w:hint="eastAsia" w:ascii="仿宋_GB2312" w:hAnsi="仿宋" w:eastAsia="仿宋_GB2312"/>
          <w:b/>
          <w:bCs/>
          <w:sz w:val="32"/>
          <w:szCs w:val="32"/>
        </w:rPr>
        <w:t>研究内容：</w:t>
      </w:r>
      <w:r>
        <w:rPr>
          <w:rFonts w:hint="eastAsia" w:ascii="仿宋_GB2312" w:hAnsi="仿宋" w:eastAsia="仿宋_GB2312"/>
          <w:sz w:val="32"/>
          <w:szCs w:val="32"/>
        </w:rPr>
        <w:t>生成式人工智能技术的不断迭代对产业转型与升级产生深刻影响，正在促进传统产业的数字化、智能化水平，甚至对一部分行业产生很大程度的替代作用。在这一背景下，围绕生成式人工智能技术对中国产业转型升级的影响</w:t>
      </w:r>
      <w:r>
        <w:rPr>
          <w:rFonts w:hint="eastAsia" w:ascii="仿宋_GB2312" w:hAnsi="仿宋" w:eastAsia="仿宋_GB2312"/>
          <w:bCs/>
          <w:sz w:val="32"/>
          <w:szCs w:val="32"/>
        </w:rPr>
        <w:t>开展选题和战略研究。</w:t>
      </w:r>
    </w:p>
    <w:p w14:paraId="6A9323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3.生成式人工智能与工业软件自主可控战略研究</w:t>
      </w:r>
    </w:p>
    <w:p w14:paraId="29AEB56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rPr>
        <w:t>课题编号：2024L03</w:t>
      </w:r>
    </w:p>
    <w:p w14:paraId="571CB2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Cs/>
          <w:sz w:val="32"/>
          <w:szCs w:val="32"/>
        </w:rPr>
      </w:pPr>
      <w:r>
        <w:rPr>
          <w:rFonts w:hint="eastAsia" w:ascii="仿宋_GB2312" w:hAnsi="仿宋" w:eastAsia="仿宋_GB2312"/>
          <w:b/>
          <w:bCs/>
          <w:sz w:val="32"/>
          <w:szCs w:val="32"/>
        </w:rPr>
        <w:t>研究内容：</w:t>
      </w:r>
      <w:r>
        <w:rPr>
          <w:rFonts w:hint="eastAsia" w:ascii="仿宋_GB2312" w:hAnsi="仿宋" w:eastAsia="仿宋_GB2312"/>
          <w:bCs/>
          <w:sz w:val="32"/>
          <w:szCs w:val="32"/>
        </w:rPr>
        <w:t>当前工业软件已成为“卡脖子”的重点领域，围绕加快人工智能在工业制造落地应用的路径机制，促进研发设计、生产制造、经营管理和运维服务等全环节智能化水平等，提出我国工业软件自主可控健康发展等方面开展选题和战略研究。</w:t>
      </w:r>
    </w:p>
    <w:p w14:paraId="0FF4F6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4.深化人工智能伦理和安全问题研究</w:t>
      </w:r>
    </w:p>
    <w:p w14:paraId="253CC5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rPr>
        <w:t>课题编号：2024L04</w:t>
      </w:r>
    </w:p>
    <w:p w14:paraId="1EFDA6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Cs/>
          <w:sz w:val="32"/>
          <w:szCs w:val="32"/>
        </w:rPr>
      </w:pPr>
      <w:r>
        <w:rPr>
          <w:rFonts w:hint="eastAsia" w:ascii="仿宋_GB2312" w:hAnsi="仿宋" w:eastAsia="仿宋_GB2312"/>
          <w:b/>
          <w:bCs/>
          <w:sz w:val="32"/>
          <w:szCs w:val="32"/>
        </w:rPr>
        <w:t>研究内容：</w:t>
      </w:r>
      <w:r>
        <w:rPr>
          <w:rFonts w:hint="eastAsia" w:ascii="仿宋_GB2312" w:hAnsi="仿宋" w:eastAsia="仿宋_GB2312"/>
          <w:bCs/>
          <w:sz w:val="32"/>
          <w:szCs w:val="32"/>
        </w:rPr>
        <w:t>人工智能的高速发展可能带来潜在的伦理和安全问题，比如算法在训练过程中是否会引入偏见和歧视，导致不公平的结果；收集数据时，是否能够保证数据隐私和遵循伦理准则。围绕在如何在保证伦理和安全问题等前提下利用人工智能技术造福社会开展选题和战略研究。</w:t>
      </w:r>
    </w:p>
    <w:p w14:paraId="3F7C34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Cs/>
          <w:sz w:val="32"/>
          <w:szCs w:val="32"/>
        </w:rPr>
      </w:pPr>
      <w:r>
        <w:rPr>
          <w:rFonts w:hint="eastAsia" w:ascii="仿宋_GB2312" w:hAnsi="仿宋" w:eastAsia="仿宋_GB2312"/>
          <w:b/>
          <w:sz w:val="32"/>
          <w:szCs w:val="32"/>
        </w:rPr>
        <w:t>5.以人工智能等技术提升老年人福祉的研究</w:t>
      </w:r>
    </w:p>
    <w:p w14:paraId="2614CE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rPr>
        <w:t>课题编号：2024L05</w:t>
      </w:r>
    </w:p>
    <w:p w14:paraId="0CA249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val="0"/>
          <w:bCs w:val="0"/>
          <w:sz w:val="32"/>
          <w:szCs w:val="32"/>
        </w:rPr>
      </w:pPr>
      <w:r>
        <w:rPr>
          <w:rFonts w:hint="eastAsia" w:ascii="仿宋_GB2312" w:hAnsi="仿宋" w:eastAsia="仿宋_GB2312"/>
          <w:b/>
          <w:bCs/>
          <w:sz w:val="32"/>
          <w:szCs w:val="32"/>
        </w:rPr>
        <w:t>研究内容：</w:t>
      </w:r>
      <w:r>
        <w:rPr>
          <w:rFonts w:hint="eastAsia" w:ascii="仿宋_GB2312" w:hAnsi="仿宋" w:eastAsia="仿宋_GB2312"/>
          <w:b w:val="0"/>
          <w:bCs w:val="0"/>
          <w:sz w:val="32"/>
          <w:szCs w:val="32"/>
        </w:rPr>
        <w:t>深入实施积极应对人口老龄化国家战略是党中央</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国务院作出的重大决策部署，以人工智能等为代表的先进技术在养老、康养等方面具有广泛应用前景，在调研当前地区养老产业发展的基础上，围绕以技术与产业的深度融合达到提升老年人福祉方面开展选题和战略研究。</w:t>
      </w:r>
    </w:p>
    <w:p w14:paraId="34CB37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6.科技围堵影响及突破策略研究</w:t>
      </w:r>
    </w:p>
    <w:p w14:paraId="3AD3F8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rPr>
        <w:t>课题编号：2024L06</w:t>
      </w:r>
    </w:p>
    <w:p w14:paraId="010F38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Cs/>
          <w:sz w:val="32"/>
          <w:szCs w:val="32"/>
        </w:rPr>
      </w:pPr>
      <w:r>
        <w:rPr>
          <w:rFonts w:hint="eastAsia" w:ascii="仿宋_GB2312" w:hAnsi="仿宋" w:eastAsia="仿宋_GB2312"/>
          <w:b/>
          <w:bCs/>
          <w:sz w:val="32"/>
          <w:szCs w:val="32"/>
        </w:rPr>
        <w:t>研究内容：</w:t>
      </w:r>
      <w:r>
        <w:rPr>
          <w:rFonts w:hint="eastAsia" w:ascii="仿宋_GB2312" w:hAnsi="仿宋" w:eastAsia="仿宋_GB2312"/>
          <w:bCs/>
          <w:sz w:val="32"/>
          <w:szCs w:val="32"/>
        </w:rPr>
        <w:t>围绕人工智能、5G、信创等相关的领域，分析科技围堵的方式、特点、步骤及带来的直接和间接影响，针对提出突破和减轻科技围堵开展选题和战略研究。</w:t>
      </w:r>
    </w:p>
    <w:p w14:paraId="65859D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7.数据相关立法研究</w:t>
      </w:r>
    </w:p>
    <w:p w14:paraId="7DB946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rPr>
        <w:t>课题编号：2024L07</w:t>
      </w:r>
    </w:p>
    <w:p w14:paraId="026324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Cs/>
          <w:sz w:val="32"/>
          <w:szCs w:val="32"/>
        </w:rPr>
      </w:pPr>
      <w:r>
        <w:rPr>
          <w:rFonts w:hint="eastAsia" w:ascii="仿宋_GB2312" w:hAnsi="仿宋" w:eastAsia="仿宋_GB2312"/>
          <w:b/>
          <w:bCs/>
          <w:sz w:val="32"/>
          <w:szCs w:val="32"/>
        </w:rPr>
        <w:t>研究内容：</w:t>
      </w:r>
      <w:r>
        <w:rPr>
          <w:rFonts w:hint="eastAsia" w:ascii="仿宋_GB2312" w:hAnsi="仿宋" w:eastAsia="仿宋_GB2312"/>
          <w:bCs/>
          <w:sz w:val="32"/>
          <w:szCs w:val="32"/>
        </w:rPr>
        <w:t>《中共中央 国务院关于构建数据基础制度更好发挥数据要素作用的意见》发布后，尚需制定相关数据法律法规使《意见》成为具有国家强制力的法律规范。围绕落实数据相关立法讨论支持法律条文、管理规定确认等开展选题和战略研究。</w:t>
      </w:r>
    </w:p>
    <w:p w14:paraId="1FB200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b/>
          <w:sz w:val="32"/>
          <w:szCs w:val="32"/>
        </w:rPr>
      </w:pPr>
      <w:r>
        <w:rPr>
          <w:rFonts w:hint="eastAsia" w:ascii="仿宋_GB2312" w:eastAsia="仿宋_GB2312" w:cs="Times New Roman"/>
          <w:b/>
          <w:sz w:val="32"/>
          <w:szCs w:val="32"/>
        </w:rPr>
        <w:t>8.区域算力情况调研及下一步布局研究</w:t>
      </w:r>
    </w:p>
    <w:p w14:paraId="300846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rPr>
        <w:t>课题编号：2024L08</w:t>
      </w:r>
    </w:p>
    <w:p w14:paraId="291E1C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bCs/>
          <w:sz w:val="32"/>
          <w:szCs w:val="32"/>
        </w:rPr>
      </w:pPr>
      <w:r>
        <w:rPr>
          <w:rFonts w:hint="eastAsia" w:ascii="仿宋_GB2312" w:hAnsi="仿宋" w:eastAsia="仿宋_GB2312"/>
          <w:b/>
          <w:bCs/>
          <w:sz w:val="32"/>
          <w:szCs w:val="32"/>
        </w:rPr>
        <w:t>研究内容：</w:t>
      </w:r>
      <w:r>
        <w:rPr>
          <w:rFonts w:hint="eastAsia" w:ascii="仿宋_GB2312" w:eastAsia="仿宋_GB2312" w:cs="Times New Roman"/>
          <w:bCs/>
          <w:sz w:val="32"/>
          <w:szCs w:val="32"/>
        </w:rPr>
        <w:t>随着人工智能应用场景的不断增加，底层算力支持已成为人工智能发展的重要基础。围绕当前算力同时存在不足及空闲问题，在天津乃至京津冀地区开展调研，针对下一阶段算力布局</w:t>
      </w:r>
      <w:r>
        <w:rPr>
          <w:rFonts w:hint="eastAsia" w:ascii="仿宋_GB2312" w:hAnsi="仿宋" w:eastAsia="仿宋_GB2312"/>
          <w:bCs/>
          <w:sz w:val="32"/>
          <w:szCs w:val="32"/>
        </w:rPr>
        <w:t>开展选题和战略研究</w:t>
      </w:r>
      <w:r>
        <w:rPr>
          <w:rFonts w:hint="eastAsia" w:ascii="仿宋_GB2312" w:eastAsia="仿宋_GB2312" w:cs="Times New Roman"/>
          <w:bCs/>
          <w:sz w:val="32"/>
          <w:szCs w:val="32"/>
        </w:rPr>
        <w:t>。</w:t>
      </w:r>
    </w:p>
    <w:p w14:paraId="74F679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b/>
          <w:sz w:val="32"/>
          <w:szCs w:val="32"/>
        </w:rPr>
      </w:pPr>
      <w:r>
        <w:rPr>
          <w:rFonts w:hint="eastAsia" w:ascii="仿宋_GB2312" w:eastAsia="仿宋_GB2312" w:cs="Times New Roman"/>
          <w:b/>
          <w:sz w:val="32"/>
          <w:szCs w:val="32"/>
        </w:rPr>
        <w:t>9.信创产业发展现状及信创2.0时代下国产算力的生态建设对策研究</w:t>
      </w:r>
    </w:p>
    <w:p w14:paraId="13EE95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rPr>
      </w:pPr>
      <w:r>
        <w:rPr>
          <w:rFonts w:hint="eastAsia" w:ascii="仿宋_GB2312" w:hAnsi="仿宋" w:eastAsia="仿宋_GB2312"/>
          <w:b/>
          <w:bCs/>
          <w:sz w:val="32"/>
          <w:szCs w:val="32"/>
        </w:rPr>
        <w:t>课题编号：2024L09</w:t>
      </w:r>
    </w:p>
    <w:p w14:paraId="369CE4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bCs/>
          <w:sz w:val="32"/>
          <w:szCs w:val="32"/>
        </w:rPr>
      </w:pPr>
      <w:r>
        <w:rPr>
          <w:rFonts w:hint="eastAsia" w:ascii="仿宋_GB2312" w:hAnsi="仿宋" w:eastAsia="仿宋_GB2312"/>
          <w:b/>
          <w:bCs/>
          <w:sz w:val="32"/>
          <w:szCs w:val="32"/>
        </w:rPr>
        <w:t>研究内容：</w:t>
      </w:r>
      <w:r>
        <w:rPr>
          <w:rFonts w:hint="eastAsia" w:ascii="仿宋_GB2312" w:eastAsia="仿宋_GB2312" w:cs="Times New Roman"/>
          <w:bCs/>
          <w:sz w:val="32"/>
          <w:szCs w:val="32"/>
        </w:rPr>
        <w:t>随着信创由党政向金融、电信、电力等关键行业拓展，由一般应用向主要应用、核心应用推进，必然需要信创产业覆盖的业务逐步升级，形成国产化生态，满足高品质、智能化、安全可靠的信息技术产品和服务的市场需求。面向信创产业转型升级和可持续发展的要求，针对天津市及京津冀区域的信创产业发展的现状与国产化算力的生态建设进行深入剖析，探究推动信创产业迈入2.0新阶段的关键核心问题。</w:t>
      </w:r>
    </w:p>
    <w:p w14:paraId="5E490B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cs="Times New Roman"/>
          <w:b/>
          <w:color w:val="auto"/>
          <w:sz w:val="32"/>
          <w:szCs w:val="32"/>
          <w:lang w:val="en-US" w:eastAsia="zh-CN"/>
        </w:rPr>
      </w:pPr>
      <w:r>
        <w:rPr>
          <w:rFonts w:hint="eastAsia" w:ascii="仿宋_GB2312" w:eastAsia="仿宋_GB2312" w:cs="Times New Roman"/>
          <w:b/>
          <w:color w:val="auto"/>
          <w:sz w:val="32"/>
          <w:szCs w:val="32"/>
        </w:rPr>
        <w:t>10.信创产业标准化建设情况及发展战略</w:t>
      </w:r>
      <w:r>
        <w:rPr>
          <w:rFonts w:hint="eastAsia" w:ascii="仿宋_GB2312" w:eastAsia="仿宋_GB2312" w:cs="Times New Roman"/>
          <w:b/>
          <w:color w:val="auto"/>
          <w:sz w:val="32"/>
          <w:szCs w:val="32"/>
          <w:lang w:val="en-US" w:eastAsia="zh-CN"/>
        </w:rPr>
        <w:t xml:space="preserve"> </w:t>
      </w:r>
      <w:bookmarkStart w:id="0" w:name="_GoBack"/>
      <w:bookmarkEnd w:id="0"/>
    </w:p>
    <w:p w14:paraId="17E19F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课题编号：2024L10</w:t>
      </w:r>
    </w:p>
    <w:p w14:paraId="2A6C9F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hAnsi="仿宋_GB2312" w:cs="仿宋_GB2312"/>
          <w:bCs/>
          <w:color w:val="auto"/>
          <w:sz w:val="32"/>
          <w:szCs w:val="32"/>
          <w:lang w:val="en-US" w:eastAsia="zh-CN"/>
        </w:rPr>
      </w:pPr>
      <w:r>
        <w:rPr>
          <w:rFonts w:hint="eastAsia" w:ascii="仿宋_GB2312" w:hAnsi="仿宋" w:eastAsia="仿宋_GB2312"/>
          <w:b/>
          <w:bCs/>
          <w:color w:val="auto"/>
          <w:sz w:val="32"/>
          <w:szCs w:val="32"/>
        </w:rPr>
        <w:t>研究内容：</w:t>
      </w:r>
      <w:r>
        <w:rPr>
          <w:rFonts w:hint="eastAsia" w:ascii="仿宋_GB2312" w:eastAsia="仿宋_GB2312" w:cs="Times New Roman"/>
          <w:bCs/>
          <w:color w:val="auto"/>
          <w:sz w:val="32"/>
          <w:szCs w:val="32"/>
        </w:rPr>
        <w:t>随着行业需求增长，我国信创产业自身生态薄弱问题愈发凸显，各领域技术标准和架构不统一，导致技术之间难以兼容和整合，增加了开发和集成的难度，导致资源浪费和效率降低。国内产业缺乏统一的对接标准和产品形态，加大了产品互联难度，一定程度上影响了传统产业基于信创底座的数字化转型。以标准化建设为抓手，围绕天津市信创产业较为适用的标准体系建设开展研究，并进一步支撑国家相关标准制定。</w:t>
      </w:r>
    </w:p>
    <w:p w14:paraId="270598E3">
      <w:pPr>
        <w:spacing w:line="580" w:lineRule="exact"/>
        <w:ind w:firstLine="640" w:firstLineChars="200"/>
        <w:rPr>
          <w:rFonts w:hint="eastAsia" w:ascii="仿宋_GB2312" w:eastAsia="仿宋_GB2312" w:cs="Times New Roman"/>
          <w:bCs/>
          <w:szCs w:val="32"/>
        </w:rPr>
      </w:pPr>
    </w:p>
    <w:sectPr>
      <w:footerReference r:id="rId3" w:type="default"/>
      <w:pgSz w:w="11906" w:h="16838"/>
      <w:pgMar w:top="1440" w:right="1800" w:bottom="1440" w:left="1800"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AC1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12721">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D12721">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NDNiMDAxMjViODQ1NzNmZGU1OTUzZDY1Yzg4ZWQifQ=="/>
  </w:docVars>
  <w:rsids>
    <w:rsidRoot w:val="00470740"/>
    <w:rsid w:val="00470740"/>
    <w:rsid w:val="0068370C"/>
    <w:rsid w:val="007D0ECA"/>
    <w:rsid w:val="00A379C2"/>
    <w:rsid w:val="00C3153E"/>
    <w:rsid w:val="1386005D"/>
    <w:rsid w:val="1D852E89"/>
    <w:rsid w:val="1FD840F8"/>
    <w:rsid w:val="234A44D9"/>
    <w:rsid w:val="253E643A"/>
    <w:rsid w:val="328F67B5"/>
    <w:rsid w:val="397416BE"/>
    <w:rsid w:val="4151103E"/>
    <w:rsid w:val="4DD252B5"/>
    <w:rsid w:val="53717EB1"/>
    <w:rsid w:val="57971EC0"/>
    <w:rsid w:val="5DF41277"/>
    <w:rsid w:val="5EB50A07"/>
    <w:rsid w:val="63791263"/>
    <w:rsid w:val="63A87A25"/>
    <w:rsid w:val="686D094B"/>
    <w:rsid w:val="71F3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qFormat/>
    <w:uiPriority w:val="0"/>
    <w:rPr>
      <w:rFonts w:eastAsia="仿宋" w:cstheme="minorBidi"/>
      <w:kern w:val="2"/>
      <w:sz w:val="18"/>
      <w:szCs w:val="18"/>
    </w:rPr>
  </w:style>
  <w:style w:type="character" w:customStyle="1" w:styleId="8">
    <w:name w:val="页脚 Char"/>
    <w:basedOn w:val="5"/>
    <w:link w:val="2"/>
    <w:qFormat/>
    <w:uiPriority w:val="0"/>
    <w:rPr>
      <w:rFonts w:eastAsia="仿宋"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1545</Words>
  <Characters>1633</Characters>
  <Lines>11</Lines>
  <Paragraphs>3</Paragraphs>
  <TotalTime>1</TotalTime>
  <ScaleCrop>false</ScaleCrop>
  <LinksUpToDate>false</LinksUpToDate>
  <CharactersWithSpaces>1635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2024-07-29T02:24:00Z</dcterms:created>
  <dc:creator>86185</dc:creator>
  <cp:lastModifiedBy>小木</cp:lastModifiedBy>
  <cp:lastPrinted>2024-06-03T08:08:00Z</cp:lastPrinted>
  <dcterms:modified xsi:type="dcterms:W3CDTF">2024-09-20T07:26:36Z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79C365ABB67940EE932CB1D526F4E5A9_13</vt:lpwstr>
  </property>
</Properties>
</file>